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40" w:lineRule="exact"/>
        <w:rPr>
          <w:rFonts w:ascii="微软雅黑" w:hAnsi="微软雅黑" w:eastAsia="微软雅黑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sz w:val="40"/>
          <w:szCs w:val="40"/>
          <w:lang w:eastAsia="zh-CN"/>
        </w:rPr>
        <w:t>通信</w:t>
      </w:r>
      <w:r>
        <w:rPr>
          <w:rFonts w:hint="eastAsia" w:ascii="微软雅黑" w:hAnsi="微软雅黑" w:eastAsia="微软雅黑"/>
          <w:b/>
          <w:sz w:val="40"/>
          <w:szCs w:val="40"/>
        </w:rPr>
        <w:t>中层管理心理学专家  周海博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4307205</wp:posOffset>
            </wp:positionH>
            <wp:positionV relativeFrom="paragraph">
              <wp:posOffset>85725</wp:posOffset>
            </wp:positionV>
            <wp:extent cx="2248535" cy="3504565"/>
            <wp:effectExtent l="0" t="0" r="18415" b="63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8535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专业资质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北京林业大学心理学硕士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IHNMA 国际催眠师认证、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人力资源和社会保障部心理咨询师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企业中层领导力提升训练专家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AATCP促动师、SPOT引导师、OD咨询师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《MTP中层管理技能》《4D卓越领导力》认证讲师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10余年团队管理咨询经验，15年培训管理与授课经验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曾任中国IT教育第一品牌北大青鸟教育 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大区经理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曾任高端百货连锁佼佼者中国春天百货集团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培训总监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曾任全球最大的P2P公司宜信投资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领导力培训专家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3907790</wp:posOffset>
                </wp:positionH>
                <wp:positionV relativeFrom="paragraph">
                  <wp:posOffset>382270</wp:posOffset>
                </wp:positionV>
                <wp:extent cx="981075" cy="238125"/>
                <wp:effectExtent l="0" t="0" r="952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7pt;margin-top:30.1pt;height:18.75pt;width:77.25pt;mso-position-horizontal-relative:margin;z-index:-251656192;v-text-anchor:middle;mso-width-relative:page;mso-height-relative:page;" fillcolor="#FFFFFF [3212]" filled="t" stroked="f" coordsize="21600,21600" o:gfxdata="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FtHbv9oAAAAJAQAADwAAAAAAAAABACAAAAAiAAAAZHJzL2Rvd25yZXYu&#10;eG1sUEsBAhQAFAAAAAgAh07iQBVfK0JrAgAA1AQAAA4AAAAAAAAAAQAgAAAAKQEAAGRycy9lMm9E&#10;b2MueG1sUEsFBgAAAAAGAAYAWQEAAAYGAAAAAA==&#10;">
                <v:fill on="t" opacity="17694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上海财经大学财务总监班特聘领导力讲师、北京大学、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清华大学、中山大学等多所高校MBA/EMBA/EDP班课程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特约讲师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【实战经验】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拥有10余年大型团队管理咨询经验、15年知名企业培训管理与授课经验，历任大区经理、培训总监等职位，深耕组织发展与企业管理，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对管理者管理技能提升、中高层领导力发展、企业内训师培育、心理学、行动学习与绩效改进有着深入的研究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凭借多年知名企业培训管理和内部咨询经验，能够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从甲方需求和项目的实施难点出发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，以企业培训方角度和项目整体目标来设计课程，通过提前收集资料、调研访谈等方式进行微订制，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使课程更贴合学员实际工作和项目目标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D9D9D9" w:themeColor="background1" w:themeShade="D9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擅长利用心理学、引导技术与团队教练的工具和理念，带动学员产生更多思想碰撞和讨论，关注认知升级而非得出唯一结论，营造彼此信任、愉悦和积极的课堂氛围，有目的的游戏化教学，形成良好的学习场域，更符合成人学习习惯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帮助学员完成从意识到行为的改变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周老师帮助数百家500强企业、知名私企、国企、央企、行业领袖、中国移动、中国电信、中国烟草、工商银行、建设银行、农业银行、中国华能、中电投等企业提供服务与辅导，受到企业的一致好评，周老师具有丰富的授课经验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课程好评度高达98%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授课链接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周海博老师《表扬与批评》</w: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instrText xml:space="preserve"> HYPERLINK "https://www.iqiyi.com/v_2dpd5tkp6g8.html" </w:instrTex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t>https://www.iqiyi.com/v_2dpd5tkp6g8.html</w: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主讲课程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《组织变革领导力》     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《4D卓越团队领导力》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《职场非暴力沟通》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《问题分析与解决》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《团队核心管理技能修炼》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《组织协作工作坊》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《卓越培训师编导演TTT》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《情绪压力管理工作坊》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《高情商分歧沟通》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《MTP中高层管理技能》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《职场思考力》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《创新思维训练》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《沙漠掘金》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授课风格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告别碎片化，清单化，零散知识拼凑学习，基于多年管理实践经验，结合精选经典心理学理论，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形成完整的逻辑和体系学习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建构式学习设计，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引导式授课+案例式情境+游戏化教学</w:t>
      </w:r>
      <w:r>
        <w:rPr>
          <w:rFonts w:hint="eastAsia" w:ascii="微软雅黑" w:hAnsi="微软雅黑" w:eastAsia="微软雅黑" w:cs="微软雅黑"/>
          <w:sz w:val="24"/>
          <w:szCs w:val="24"/>
        </w:rPr>
        <w:t>，调动学员旧知，激发参与，主动思考，形成更好的体验，让学员更自信的践行所学。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讲师会根据企业现状，面临挑战，对课程进行微调，使之更有针对性，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做到定制化培训，让学员更有代入感，让企业培训效果更大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【部分授课记录】</w:t>
      </w:r>
    </w:p>
    <w:p>
      <w:pPr>
        <w:spacing w:after="93" w:afterLines="30" w:line="440" w:lineRule="exact"/>
        <w:rPr>
          <w:rFonts w:hint="default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远东电缆 主管的一天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北京移动 引导问题分析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青岛联通 演讲与汇报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青岛联通 TTT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北京移动 演讲大赛辅导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北京联通 金字塔原理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北京移动 系统思维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江苏移动 心想事呈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南京移动 商战模拟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北京电信 时间管理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江苏移动 心想事呈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成都联通 职业规划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绵阳移动 自我管理与任务推进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许昌移动 结构化思维+目标计划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北京移动 职业规划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中国电信 结构化思维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spacing w:after="93" w:afterLines="30" w:line="440" w:lineRule="exact"/>
        <w:rPr>
          <w:rFonts w:hint="eastAsia" w:ascii="微软雅黑" w:hAnsi="微软雅黑" w:eastAsia="微软雅黑"/>
          <w:b/>
          <w:bCs/>
          <w:sz w:val="26"/>
          <w:szCs w:val="26"/>
          <w:lang w:val="en-US" w:eastAsia="zh-CN"/>
        </w:rPr>
      </w:pPr>
      <w:r>
        <w:rPr>
          <w:rFonts w:hint="eastAsia" w:ascii="微软雅黑" w:hAnsi="微软雅黑" w:eastAsia="微软雅黑"/>
          <w:sz w:val="26"/>
          <w:szCs w:val="26"/>
        </w:rPr>
        <w:t>广西移动 DISC+角色转换</w:t>
      </w:r>
      <w:r>
        <w:rPr>
          <w:rFonts w:hint="eastAsia" w:ascii="微软雅黑" w:hAnsi="微软雅黑" w:eastAsia="微软雅黑"/>
          <w:sz w:val="26"/>
          <w:szCs w:val="26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【服务客户】</w:t>
      </w:r>
    </w:p>
    <w:p>
      <w:pPr>
        <w:spacing w:line="44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  <w:lang w:val="en-US" w:eastAsia="zh-CN"/>
        </w:rPr>
        <w:t>通信行业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：</w:t>
      </w:r>
      <w:r>
        <w:rPr>
          <w:rFonts w:hint="eastAsia" w:ascii="微软雅黑" w:hAnsi="微软雅黑" w:eastAsia="微软雅黑"/>
          <w:sz w:val="24"/>
          <w:szCs w:val="24"/>
        </w:rPr>
        <w:t>鞍山电信、山西移动、天津移动、唐山联通、乌兰浩特移动、青岛联通、乐山移动、河北移动、青岛电信、北京电信分支行、天音通讯、恒信集团、达州移动、晋中联通、黄石移动、兰州铁通、长春铁通、重庆铁通、成都移动、资阳移动、阜新电信、合肥移动、重庆移动、深圳电信、北京铁塔</w:t>
      </w:r>
      <w:r>
        <w:rPr>
          <w:rFonts w:hint="eastAsia" w:ascii="微软雅黑" w:hAnsi="微软雅黑" w:eastAsia="微软雅黑"/>
          <w:sz w:val="24"/>
          <w:szCs w:val="24"/>
          <w:lang w:eastAsia="zh-CN"/>
        </w:rPr>
        <w:t>、广西移动、南京移动、江苏移动、北京移动、许昌移动、绵阳移动、成都联通、北京联通、山西铁塔、远东电缆</w:t>
      </w:r>
      <w:r>
        <w:rPr>
          <w:rFonts w:hint="eastAsia" w:ascii="微软雅黑" w:hAnsi="微软雅黑" w:eastAsia="微软雅黑"/>
          <w:sz w:val="24"/>
          <w:szCs w:val="24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金融银行：</w:t>
      </w:r>
      <w:r>
        <w:rPr>
          <w:rFonts w:hint="eastAsia" w:ascii="微软雅黑" w:hAnsi="微软雅黑" w:eastAsia="微软雅黑" w:cs="微软雅黑"/>
          <w:sz w:val="24"/>
          <w:szCs w:val="24"/>
        </w:rPr>
        <w:t>洛阳工行、南阳工行、邯郸工行、重庆工行、杭州工行、黑龙江工行、湖南农行、长沙农行、廊坊农行、河北农行、上海广发、河北邮政银行、太原邮政、北京银行、成都银行、天津银行、河北商行、昆山建行、天津民生银行、民生银行北京总行、华夏保险、泰康人寿、华夏保险、太平洋保险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其他行业：</w:t>
      </w:r>
      <w:r>
        <w:rPr>
          <w:rFonts w:hint="eastAsia" w:ascii="微软雅黑" w:hAnsi="微软雅黑" w:eastAsia="微软雅黑" w:cs="微软雅黑"/>
          <w:sz w:val="24"/>
          <w:szCs w:val="24"/>
        </w:rPr>
        <w:t>正保远程教育、南方航空、诺亚人力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雀巢牧场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中建八局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爱康国宾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河北热力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慧清科技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天津盐场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长沙广联达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心想事呈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百事集团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中原燃气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现代牧业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中海油财务等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【授课照片】</w:t>
      </w:r>
    </w:p>
    <w:tbl>
      <w:tblPr>
        <w:tblStyle w:val="7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6"/>
        <w:gridCol w:w="227"/>
        <w:gridCol w:w="4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14:reflection w14:blurRad="0" w14:stA="0" w14:stPos="0" w14:endA="0" w14:endPos="0" w14:dist="12700" w14:dir="0" w14:fadeDir="0" w14:sx="0" w14:sy="0" w14:kx="0" w14:ky="0" w14:algn="b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3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3" name="图片 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图片 1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中信保诚特邀嘉宾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甘李药业《情绪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压力管理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工作坊》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2" name="图片 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图片 19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47" name="图片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上海财经大学《组织变革领导力》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国家电网《团队核心管理技能》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4" name="图片 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图片 19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5" name="图片 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图片 19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中国邮储《职场思考力》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永泰地产《沙漠掘金沙盘》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14:reflection w14:blurRad="0" w14:stA="0" w14:stPos="0" w14:endA="0" w14:endPos="0" w14:dist="12700" w14:dir="0" w14:fadeDir="0" w14:sx="0" w14:sy="0" w14:kx="0" w14:ky="0" w14:algn="b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49" name="图片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51" name="图片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华润集团《职场非暴力沟通》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宝马汽车《组织协作工作坊》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9504" behindDoc="1" locked="1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221" name="图片 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图片 22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0528" behindDoc="1" locked="1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222" name="图片 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图片 22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雀巢咖啡《管理沟通》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中国移动《沙漠掘金沙盘》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spacing w:line="440" w:lineRule="exact"/>
        <w:rPr>
          <w:rFonts w:ascii="微软雅黑" w:hAnsi="微软雅黑" w:eastAsia="微软雅黑"/>
          <w:b/>
          <w:sz w:val="28"/>
          <w:szCs w:val="28"/>
        </w:rPr>
      </w:pPr>
    </w:p>
    <w:sectPr>
      <w:type w:val="continuous"/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lY2YxMzQ4MWI4MzE4ZjRmM2YyMzkzMTllZTQ0YTEifQ=="/>
  </w:docVars>
  <w:rsids>
    <w:rsidRoot w:val="00121DDF"/>
    <w:rsid w:val="00001B10"/>
    <w:rsid w:val="00004210"/>
    <w:rsid w:val="00023C36"/>
    <w:rsid w:val="000856FF"/>
    <w:rsid w:val="000A01FE"/>
    <w:rsid w:val="000A2AA6"/>
    <w:rsid w:val="000F336D"/>
    <w:rsid w:val="00121DDF"/>
    <w:rsid w:val="00121FE9"/>
    <w:rsid w:val="00170D57"/>
    <w:rsid w:val="001E4138"/>
    <w:rsid w:val="001E7B14"/>
    <w:rsid w:val="002246D8"/>
    <w:rsid w:val="002835A6"/>
    <w:rsid w:val="0028475E"/>
    <w:rsid w:val="002C63C7"/>
    <w:rsid w:val="002F2199"/>
    <w:rsid w:val="003318F4"/>
    <w:rsid w:val="003808CB"/>
    <w:rsid w:val="00391AB6"/>
    <w:rsid w:val="00395AC8"/>
    <w:rsid w:val="003B322E"/>
    <w:rsid w:val="003C6AE1"/>
    <w:rsid w:val="004172ED"/>
    <w:rsid w:val="00431E23"/>
    <w:rsid w:val="00442596"/>
    <w:rsid w:val="004A23AD"/>
    <w:rsid w:val="004C7D78"/>
    <w:rsid w:val="004D0BD6"/>
    <w:rsid w:val="004E084B"/>
    <w:rsid w:val="00547ECA"/>
    <w:rsid w:val="005712E2"/>
    <w:rsid w:val="00596BF8"/>
    <w:rsid w:val="005A22F1"/>
    <w:rsid w:val="005D6CE6"/>
    <w:rsid w:val="005D786F"/>
    <w:rsid w:val="005E5828"/>
    <w:rsid w:val="005E7ADE"/>
    <w:rsid w:val="0065458E"/>
    <w:rsid w:val="00670767"/>
    <w:rsid w:val="006719D0"/>
    <w:rsid w:val="006742E7"/>
    <w:rsid w:val="00683D43"/>
    <w:rsid w:val="0069280F"/>
    <w:rsid w:val="006A468B"/>
    <w:rsid w:val="006B41EB"/>
    <w:rsid w:val="006E036C"/>
    <w:rsid w:val="006F315A"/>
    <w:rsid w:val="00705765"/>
    <w:rsid w:val="007153E6"/>
    <w:rsid w:val="00716F6C"/>
    <w:rsid w:val="0075227F"/>
    <w:rsid w:val="007A6D47"/>
    <w:rsid w:val="007D2774"/>
    <w:rsid w:val="008029E6"/>
    <w:rsid w:val="00812FF3"/>
    <w:rsid w:val="008150ED"/>
    <w:rsid w:val="00816FFF"/>
    <w:rsid w:val="008B5C11"/>
    <w:rsid w:val="008C6A76"/>
    <w:rsid w:val="008D27E8"/>
    <w:rsid w:val="008E7E32"/>
    <w:rsid w:val="0091774A"/>
    <w:rsid w:val="00991F32"/>
    <w:rsid w:val="009C41DD"/>
    <w:rsid w:val="009D3640"/>
    <w:rsid w:val="009D6F7B"/>
    <w:rsid w:val="009F5C11"/>
    <w:rsid w:val="009F7395"/>
    <w:rsid w:val="00A17F12"/>
    <w:rsid w:val="00A9379B"/>
    <w:rsid w:val="00AB1A7D"/>
    <w:rsid w:val="00AB6B47"/>
    <w:rsid w:val="00AC41BC"/>
    <w:rsid w:val="00AD1C7D"/>
    <w:rsid w:val="00AF3884"/>
    <w:rsid w:val="00B102FB"/>
    <w:rsid w:val="00B31DDD"/>
    <w:rsid w:val="00B44507"/>
    <w:rsid w:val="00B7414D"/>
    <w:rsid w:val="00BA5C34"/>
    <w:rsid w:val="00BC4030"/>
    <w:rsid w:val="00BC5D1D"/>
    <w:rsid w:val="00C13E30"/>
    <w:rsid w:val="00C238AB"/>
    <w:rsid w:val="00C34DAE"/>
    <w:rsid w:val="00C753BD"/>
    <w:rsid w:val="00C861E6"/>
    <w:rsid w:val="00C92B38"/>
    <w:rsid w:val="00CF4E1C"/>
    <w:rsid w:val="00CF6397"/>
    <w:rsid w:val="00D16F5D"/>
    <w:rsid w:val="00D542C1"/>
    <w:rsid w:val="00D62374"/>
    <w:rsid w:val="00DA0004"/>
    <w:rsid w:val="00E552C2"/>
    <w:rsid w:val="00E80370"/>
    <w:rsid w:val="00EB04C4"/>
    <w:rsid w:val="00F2244F"/>
    <w:rsid w:val="00F97665"/>
    <w:rsid w:val="00FA668F"/>
    <w:rsid w:val="00FD0DC2"/>
    <w:rsid w:val="00FE6759"/>
    <w:rsid w:val="14944C18"/>
    <w:rsid w:val="1A3D3083"/>
    <w:rsid w:val="248E06B0"/>
    <w:rsid w:val="25217967"/>
    <w:rsid w:val="490F7833"/>
    <w:rsid w:val="49426F7A"/>
    <w:rsid w:val="4B9009B5"/>
    <w:rsid w:val="4D173E4F"/>
    <w:rsid w:val="4D5A69E7"/>
    <w:rsid w:val="54244390"/>
    <w:rsid w:val="56E16569"/>
    <w:rsid w:val="573165BB"/>
    <w:rsid w:val="58D75E75"/>
    <w:rsid w:val="64597FEC"/>
    <w:rsid w:val="70F4467F"/>
    <w:rsid w:val="78230FD1"/>
    <w:rsid w:val="78A551F0"/>
    <w:rsid w:val="7A5A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styleId="12">
    <w:name w:val="List Paragraph"/>
    <w:qFormat/>
    <w:uiPriority w:val="0"/>
    <w:rPr>
      <w:rFonts w:ascii="Times New Roman" w:hAnsi="Times New Roman" w:cs="Times New Roman" w:eastAsiaTheme="minorEastAsia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EF1B3C-60E8-49FF-A7B6-AF6DBBB296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1122</Words>
  <Characters>1163</Characters>
  <Lines>13</Lines>
  <Paragraphs>3</Paragraphs>
  <TotalTime>0</TotalTime>
  <ScaleCrop>false</ScaleCrop>
  <LinksUpToDate>false</LinksUpToDate>
  <CharactersWithSpaces>1223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2022-12-29T04:32:00Z</dcterms:created>
  <dc:creator>YM</dc:creator>
  <cp:lastModifiedBy>助力讲师团高远</cp:lastModifiedBy>
  <cp:lastPrinted>2018-04-06T12:39:00Z</cp:lastPrinted>
  <dcterms:modified xsi:type="dcterms:W3CDTF">2023-08-16T03:50:52Z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5182DDB14D3E4D01A66653C40114C6AD</vt:lpwstr>
  </property>
</Properties>
</file>