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440" w:lineRule="exact"/>
        <w:rPr>
          <w:rFonts w:ascii="微软雅黑" w:hAnsi="微软雅黑" w:eastAsia="微软雅黑"/>
          <w:b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/>
          <w:b/>
          <w:sz w:val="40"/>
          <w:szCs w:val="40"/>
        </w:rPr>
        <w:t>引导式</w:t>
      </w:r>
      <w:r>
        <w:rPr>
          <w:rFonts w:ascii="微软雅黑" w:hAnsi="微软雅黑" w:eastAsia="微软雅黑"/>
          <w:b/>
          <w:sz w:val="40"/>
          <w:szCs w:val="40"/>
        </w:rPr>
        <w:t>TTT</w:t>
      </w:r>
      <w:r>
        <w:rPr>
          <w:rFonts w:hint="eastAsia" w:ascii="微软雅黑" w:hAnsi="微软雅黑" w:eastAsia="微软雅黑"/>
          <w:b/>
          <w:sz w:val="40"/>
          <w:szCs w:val="40"/>
        </w:rPr>
        <w:t>训练专家  周海博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</w:pPr>
      <w:bookmarkStart w:id="0" w:name="_GoBack"/>
      <w:r>
        <w:rPr>
          <w:rFonts w:hint="eastAsia" w:ascii="微软雅黑" w:hAnsi="微软雅黑" w:eastAsia="微软雅黑" w:cs="微软雅黑"/>
          <w:b/>
          <w:sz w:val="36"/>
          <w:szCs w:val="36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4535805</wp:posOffset>
            </wp:positionH>
            <wp:positionV relativeFrom="paragraph">
              <wp:posOffset>57150</wp:posOffset>
            </wp:positionV>
            <wp:extent cx="2248535" cy="3504565"/>
            <wp:effectExtent l="0" t="0" r="18415" b="635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48535" cy="3504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专业资质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4"/>
          <w:szCs w:val="24"/>
          <w:lang w:val="en-US" w:eastAsia="zh-CN"/>
        </w:rPr>
        <w:t>✦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北京林业大学心理学硕士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IHNMA 国际催眠师认证、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人力资源和社会保障部心理咨询师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4"/>
          <w:szCs w:val="24"/>
          <w:lang w:val="en-US" w:eastAsia="zh-CN"/>
        </w:rPr>
        <w:t>✦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企业中层领导力提升训练专家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4"/>
          <w:szCs w:val="24"/>
          <w:lang w:val="en-US" w:eastAsia="zh-CN"/>
        </w:rPr>
        <w:t>✦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AATCP促动师、SPOT引导师、OD咨询师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4"/>
          <w:szCs w:val="24"/>
          <w:lang w:val="en-US" w:eastAsia="zh-CN"/>
        </w:rPr>
        <w:t>✦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《MTP中层管理技能》《4D卓越领导力》认证讲师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4"/>
          <w:szCs w:val="24"/>
          <w:lang w:val="en-US" w:eastAsia="zh-CN"/>
        </w:rPr>
        <w:t>✦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10余年团队管理咨询经验，15年培训管理与授课经验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4"/>
          <w:szCs w:val="24"/>
          <w:lang w:val="en-US" w:eastAsia="zh-CN"/>
        </w:rPr>
        <w:t>✦</w: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曾任中国IT教育第一品牌北大青鸟教育 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大区经理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4"/>
          <w:szCs w:val="24"/>
          <w:lang w:val="en-US" w:eastAsia="zh-CN"/>
        </w:rPr>
        <w:t>✦</w: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曾任高端百货连锁佼佼者中国春天百货集团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培训总监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4"/>
          <w:szCs w:val="24"/>
          <w:lang w:val="en-US" w:eastAsia="zh-CN"/>
        </w:rPr>
        <w:t>✦</w: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曾任全球最大的P2P公司宜信投资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领导力培训专家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4"/>
          <w:szCs w:val="24"/>
          <w:lang w:val="en-US" w:eastAsia="zh-CN"/>
        </w:rPr>
        <w:t>✦</w:t>
      </w:r>
      <w:r>
        <w:rPr>
          <w:rFonts w:hint="eastAsia" w:ascii="微软雅黑" w:hAnsi="微软雅黑" w:eastAsia="微软雅黑" w:cs="微软雅黑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margin">
                  <wp:posOffset>3907790</wp:posOffset>
                </wp:positionH>
                <wp:positionV relativeFrom="paragraph">
                  <wp:posOffset>382270</wp:posOffset>
                </wp:positionV>
                <wp:extent cx="981075" cy="238125"/>
                <wp:effectExtent l="0" t="0" r="9525" b="9525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075" cy="2381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27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07.7pt;margin-top:30.1pt;height:18.75pt;width:77.25pt;mso-position-horizontal-relative:margin;z-index:-251656192;v-text-anchor:middle;mso-width-relative:page;mso-height-relative:page;" fillcolor="#FFFFFF [3212]" filled="t" stroked="f" coordsize="21600,21600" o:gfxdata="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AAAAAZHJz&#10;L1BLAQIUABQAAAAIAIdO4kAW0du/2gAAAAkBAAAPAAAAAAAAAAEAIAAAACIAAABkcnMvZG93bnJl&#10;di54bWxQSwECFAAUAAAACACHTuJADe3d7G0CAADUBAAADgAAAAAAAAABACAAAAApAQAAZHJzL2Uy&#10;b0RvYy54bWxQSwUGAAAAAAYABgBZAQAACAYAAAAA&#10;">
                <v:fill on="t" opacity="17694f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微软雅黑" w:hAnsi="微软雅黑" w:eastAsia="微软雅黑" w:cs="微软雅黑"/>
          <w:sz w:val="24"/>
          <w:szCs w:val="24"/>
        </w:rPr>
        <w:t>上海财经大学财务总监班特聘领导力讲师、北京大学、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清华大学、中山大学等多所高校MBA/EMBA/EDP班课程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特约讲师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【实战经验】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● 拥有10余年大型团队管理咨询经验、15年知名企业培训管理与授课经验，历任大区经理、培训总监等职位，深耕组织发展与企业管理，</w:t>
      </w: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  <w:t>对管理者管理技能提升、中高层领导力发展、企业内训师培育、心理学、行动学习与绩效改进有着深入的研究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● 凭借多年知名企业培训管理和内部咨询经验，能够</w:t>
      </w: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  <w:t>从甲方需求和项目的实施难点出发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，以企业培训方角度和项目整体目标来设计课程，通过提前收集资料、调研访谈等方式进行微订制，</w:t>
      </w: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  <w:t>使课程更贴合学员实际工作和项目目标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color w:val="D9D9D9" w:themeColor="background1" w:themeShade="D9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● 擅长利用心理学、引导技术与团队教练的工具和理念，带动学员产生更多思想碰撞和讨论，关注认知升级而非得出唯一结论，营造彼此信任、愉悦和积极的课堂氛围，有目的的游戏化教学，形成良好的学习场域，更符合成人学习习惯，</w:t>
      </w: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  <w:t>帮助学员完成从意识到行为的改变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，周老师帮助数百家500强企业、知名私企、国企、央企、行业领袖、中国移动、中国电信、中国烟草、工商银行、建设银行、农业银行、中国华能、中电投等企业提供服务与辅导，受到企业的一致好评，周老师具有丰富的授课经验，</w:t>
      </w: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  <w:t>课程好评度高达98%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授课链接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b/>
          <w:color w:val="0000FF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周海博老师《表扬与批评》</w:t>
      </w:r>
      <w:r>
        <w:rPr>
          <w:rFonts w:hint="eastAsia" w:ascii="微软雅黑" w:hAnsi="微软雅黑" w:eastAsia="微软雅黑" w:cs="微软雅黑"/>
          <w:b/>
          <w:color w:val="0000FF"/>
          <w:sz w:val="24"/>
          <w:szCs w:val="24"/>
          <w:lang w:val="en-US" w:eastAsia="zh-CN"/>
        </w:rPr>
        <w:fldChar w:fldCharType="begin"/>
      </w:r>
      <w:r>
        <w:rPr>
          <w:rFonts w:hint="eastAsia" w:ascii="微软雅黑" w:hAnsi="微软雅黑" w:eastAsia="微软雅黑" w:cs="微软雅黑"/>
          <w:b/>
          <w:color w:val="0000FF"/>
          <w:sz w:val="24"/>
          <w:szCs w:val="24"/>
          <w:lang w:val="en-US" w:eastAsia="zh-CN"/>
        </w:rPr>
        <w:instrText xml:space="preserve"> HYPERLINK "https://www.iqiyi.com/v_2dpd5tkp6g8.html" </w:instrText>
      </w:r>
      <w:r>
        <w:rPr>
          <w:rFonts w:hint="eastAsia" w:ascii="微软雅黑" w:hAnsi="微软雅黑" w:eastAsia="微软雅黑" w:cs="微软雅黑"/>
          <w:b/>
          <w:color w:val="0000FF"/>
          <w:sz w:val="24"/>
          <w:szCs w:val="24"/>
          <w:lang w:val="en-US" w:eastAsia="zh-CN"/>
        </w:rPr>
        <w:fldChar w:fldCharType="separate"/>
      </w:r>
      <w:r>
        <w:rPr>
          <w:rStyle w:val="9"/>
          <w:rFonts w:hint="eastAsia" w:ascii="微软雅黑" w:hAnsi="微软雅黑" w:eastAsia="微软雅黑" w:cs="微软雅黑"/>
          <w:b/>
          <w:color w:val="0000FF"/>
          <w:sz w:val="24"/>
          <w:szCs w:val="24"/>
          <w:lang w:val="en-US" w:eastAsia="zh-CN"/>
        </w:rPr>
        <w:t>https://www.iqiyi.com/v_2dpd5tkp6g8.html</w:t>
      </w:r>
      <w:r>
        <w:rPr>
          <w:rFonts w:hint="eastAsia" w:ascii="微软雅黑" w:hAnsi="微软雅黑" w:eastAsia="微软雅黑" w:cs="微软雅黑"/>
          <w:b/>
          <w:color w:val="0000FF"/>
          <w:sz w:val="24"/>
          <w:szCs w:val="24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【主讲课程】</w:t>
      </w:r>
    </w:p>
    <w:p>
      <w:pPr>
        <w:spacing w:line="440" w:lineRule="exact"/>
        <w:rPr>
          <w:rFonts w:ascii="微软雅黑" w:hAnsi="微软雅黑" w:eastAsia="微软雅黑"/>
          <w:sz w:val="26"/>
          <w:szCs w:val="26"/>
        </w:rPr>
      </w:pPr>
      <w:r>
        <w:rPr>
          <w:rFonts w:hint="eastAsia" w:ascii="微软雅黑" w:hAnsi="微软雅黑" w:eastAsia="微软雅黑"/>
          <w:sz w:val="26"/>
          <w:szCs w:val="26"/>
        </w:rPr>
        <w:t>《卓越培训师编导演TTT》</w:t>
      </w:r>
      <w:r>
        <w:rPr>
          <w:rFonts w:hint="eastAsia" w:ascii="微软雅黑" w:hAnsi="微软雅黑" w:eastAsia="微软雅黑"/>
          <w:sz w:val="26"/>
          <w:szCs w:val="26"/>
        </w:rPr>
        <w:tab/>
      </w:r>
      <w:r>
        <w:rPr>
          <w:rFonts w:hint="eastAsia" w:ascii="微软雅黑" w:hAnsi="微软雅黑" w:eastAsia="微软雅黑"/>
          <w:sz w:val="26"/>
          <w:szCs w:val="26"/>
        </w:rPr>
        <w:t>《引导式授课互动技术》</w:t>
      </w:r>
      <w:r>
        <w:rPr>
          <w:rFonts w:hint="eastAsia" w:ascii="微软雅黑" w:hAnsi="微软雅黑" w:eastAsia="微软雅黑"/>
          <w:sz w:val="26"/>
          <w:szCs w:val="26"/>
        </w:rPr>
        <w:tab/>
      </w:r>
      <w:r>
        <w:rPr>
          <w:rFonts w:ascii="微软雅黑" w:hAnsi="微软雅黑" w:eastAsia="微软雅黑"/>
          <w:sz w:val="26"/>
          <w:szCs w:val="26"/>
        </w:rPr>
        <w:t xml:space="preserve">    </w:t>
      </w:r>
      <w:r>
        <w:rPr>
          <w:rFonts w:hint="eastAsia" w:ascii="微软雅黑" w:hAnsi="微软雅黑" w:eastAsia="微软雅黑"/>
          <w:sz w:val="26"/>
          <w:szCs w:val="26"/>
        </w:rPr>
        <w:t xml:space="preserve">《故事影响力》  </w:t>
      </w:r>
    </w:p>
    <w:p>
      <w:pPr>
        <w:spacing w:line="440" w:lineRule="exact"/>
        <w:rPr>
          <w:rFonts w:ascii="微软雅黑" w:hAnsi="微软雅黑" w:eastAsia="微软雅黑"/>
          <w:sz w:val="26"/>
          <w:szCs w:val="26"/>
        </w:rPr>
      </w:pPr>
      <w:r>
        <w:rPr>
          <w:rFonts w:hint="eastAsia" w:ascii="微软雅黑" w:hAnsi="微软雅黑" w:eastAsia="微软雅黑"/>
          <w:sz w:val="26"/>
          <w:szCs w:val="26"/>
        </w:rPr>
        <w:t>《视觉引导与场域营造》</w:t>
      </w:r>
      <w:r>
        <w:rPr>
          <w:rFonts w:hint="eastAsia" w:ascii="微软雅黑" w:hAnsi="微软雅黑" w:eastAsia="微软雅黑"/>
          <w:sz w:val="26"/>
          <w:szCs w:val="26"/>
        </w:rPr>
        <w:tab/>
      </w:r>
      <w:r>
        <w:rPr>
          <w:rFonts w:ascii="微软雅黑" w:hAnsi="微软雅黑" w:eastAsia="微软雅黑"/>
          <w:sz w:val="26"/>
          <w:szCs w:val="26"/>
        </w:rPr>
        <w:t xml:space="preserve">  </w:t>
      </w:r>
      <w:r>
        <w:rPr>
          <w:rFonts w:hint="eastAsia" w:ascii="微软雅黑" w:hAnsi="微软雅黑" w:eastAsia="微软雅黑"/>
          <w:sz w:val="26"/>
          <w:szCs w:val="26"/>
        </w:rPr>
        <w:t>《建构式教学设计》</w:t>
      </w:r>
      <w:r>
        <w:rPr>
          <w:rFonts w:hint="eastAsia" w:ascii="微软雅黑" w:hAnsi="微软雅黑" w:eastAsia="微软雅黑"/>
          <w:sz w:val="26"/>
          <w:szCs w:val="26"/>
        </w:rPr>
        <w:tab/>
      </w:r>
      <w:r>
        <w:rPr>
          <w:rFonts w:hint="eastAsia" w:ascii="微软雅黑" w:hAnsi="微软雅黑" w:eastAsia="微软雅黑"/>
          <w:sz w:val="26"/>
          <w:szCs w:val="26"/>
        </w:rPr>
        <w:t>《游戏化沉浸教学》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授课风格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● 告别碎片化，清单化，零散知识拼凑学习，基于多年管理实践经验，结合精选经典心理学理论，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形成完整的逻辑和体系学习</w:t>
      </w:r>
      <w:r>
        <w:rPr>
          <w:rFonts w:hint="eastAsia" w:ascii="微软雅黑" w:hAnsi="微软雅黑" w:eastAsia="微软雅黑" w:cs="微软雅黑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● 建构式学习设计，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引导式授课+案例式情境+游戏化教学</w:t>
      </w:r>
      <w:r>
        <w:rPr>
          <w:rFonts w:hint="eastAsia" w:ascii="微软雅黑" w:hAnsi="微软雅黑" w:eastAsia="微软雅黑" w:cs="微软雅黑"/>
          <w:sz w:val="24"/>
          <w:szCs w:val="24"/>
        </w:rPr>
        <w:t>，调动学员旧知，激发参与，主动思考，形成更好的体验，让学员更自信的践行所学。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● 讲师会根据企业现状，面临挑战，对课程进行微调，使之更有针对性，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做到定制化培训，让学员更有代入感，让企业培训效果更大</w:t>
      </w:r>
      <w:r>
        <w:rPr>
          <w:rFonts w:hint="eastAsia" w:ascii="微软雅黑" w:hAnsi="微软雅黑" w:eastAsia="微软雅黑" w:cs="微软雅黑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部分授课记录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洛阳工行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《</w:t>
      </w:r>
      <w:r>
        <w:rPr>
          <w:rFonts w:hint="eastAsia" w:ascii="微软雅黑" w:hAnsi="微软雅黑" w:eastAsia="微软雅黑" w:cs="微软雅黑"/>
          <w:sz w:val="24"/>
          <w:szCs w:val="24"/>
        </w:rPr>
        <w:t>情绪压力管理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》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 xml:space="preserve"> 内训课1天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南阳工行《组织变革领导力》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 xml:space="preserve"> 内训课1天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邯郸工行《问题分析与解决》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 xml:space="preserve"> 内训课1天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重庆工行《职场非暴力沟通》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 xml:space="preserve"> 内训课1天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上海财经大学《MTP中高层管理技能》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 xml:space="preserve"> 内训课1天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西安电力学院《职场思考力》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 xml:space="preserve"> 内训课1天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清华大学《团队核心管理技能修炼》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 xml:space="preserve"> 内训课1天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鞍山电信《职场非暴力沟通》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 xml:space="preserve"> 内训课1天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山西移动《问题分析与解决》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 xml:space="preserve"> 内训课1天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天津移动《组织变革领导力》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 xml:space="preserve"> 内训课1天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一汽大众《MTP中高层管理技能》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 xml:space="preserve"> 内训课1天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上海大众《创新思维训练》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 xml:space="preserve"> 内训课1天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宝马汽车《组织协作工作坊》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 xml:space="preserve"> 内训课1天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正保远程教育《MTP中高层管理技能》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 xml:space="preserve"> 内训课1天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ind w:left="0" w:firstLine="0" w:firstLineChars="0"/>
        <w:jc w:val="left"/>
        <w:textAlignment w:val="auto"/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【服务客户】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金融银行：</w:t>
      </w:r>
      <w:r>
        <w:rPr>
          <w:rFonts w:hint="eastAsia" w:ascii="微软雅黑" w:hAnsi="微软雅黑" w:eastAsia="微软雅黑" w:cs="微软雅黑"/>
          <w:sz w:val="24"/>
          <w:szCs w:val="24"/>
        </w:rPr>
        <w:t>洛阳工行、南阳工行、邯郸工行、重庆工行、杭州工行、黑龙江工行、湖南农行、长沙农行、廊坊农行、河北农行、上海广发、河北邮政银行、太原邮政、北京银行、成都银行、天津银行、河北商行、昆山建行、天津民生银行、民生银行北京总行、华夏保险、泰康人寿、华夏保险、太平洋保险等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高校国企：</w:t>
      </w:r>
      <w:r>
        <w:rPr>
          <w:rFonts w:hint="eastAsia" w:ascii="微软雅黑" w:hAnsi="微软雅黑" w:eastAsia="微软雅黑" w:cs="微软雅黑"/>
          <w:sz w:val="24"/>
          <w:szCs w:val="24"/>
        </w:rPr>
        <w:t>上海财经大学、西安电力学院、清华大学、人民大学、上海交大、农银大学、大连鑫泉留学集团、浙江大学、燕山大学、中国海油等。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水电能源：</w:t>
      </w:r>
      <w:r>
        <w:rPr>
          <w:rFonts w:hint="eastAsia" w:ascii="微软雅黑" w:hAnsi="微软雅黑" w:eastAsia="微软雅黑" w:cs="微软雅黑"/>
          <w:sz w:val="24"/>
          <w:szCs w:val="24"/>
        </w:rPr>
        <w:t>中核集团、大唐新能源山西分公司、晋中供电局、国网新源、信阳供电局、江苏核电、疆南供电局、大唐保定热电厂、汉川发电厂、江苏核电、秦岭发电厂、三门峡供电公司、中电投、青山热电、天津华能等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通信行业：</w:t>
      </w:r>
      <w:r>
        <w:rPr>
          <w:rFonts w:hint="eastAsia" w:ascii="微软雅黑" w:hAnsi="微软雅黑" w:eastAsia="微软雅黑" w:cs="微软雅黑"/>
          <w:sz w:val="24"/>
          <w:szCs w:val="24"/>
        </w:rPr>
        <w:t>鞍山电信、山西移动、天津移动、唐山联通、乌兰浩特移动、青岛联通、乐山移动、河北移动、青岛电信、北京电信分支行、天音通讯、恒信集团、达州移动、晋中联通、黄石移动、兰州铁通、长春铁通、重庆铁通、成都移动、资阳移动、阜新电信、合肥移动、重庆移动、深圳电信、北京铁塔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蚌埠通服等。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汽车交通：</w:t>
      </w:r>
      <w:r>
        <w:rPr>
          <w:rFonts w:hint="eastAsia" w:ascii="微软雅黑" w:hAnsi="微软雅黑" w:eastAsia="微软雅黑" w:cs="微软雅黑"/>
          <w:sz w:val="24"/>
          <w:szCs w:val="24"/>
        </w:rPr>
        <w:t>一汽大众、上海大众、宝马汽车、华晨中华汽车、一汽客车、亚德客集团、宝信汽车、华普汽车、长城集团、开隆汽车、东风汽车、南方高速、哈尔滨铁路局、中铁四局、川汽集团、绵阳公交公司、起亚、中交一局、温州地铁、山西神朔铁路、中交一航院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其他行业：</w:t>
      </w:r>
      <w:r>
        <w:rPr>
          <w:rFonts w:hint="eastAsia" w:ascii="微软雅黑" w:hAnsi="微软雅黑" w:eastAsia="微软雅黑" w:cs="微软雅黑"/>
          <w:sz w:val="24"/>
          <w:szCs w:val="24"/>
        </w:rPr>
        <w:t>正保远程教育、南方航空、诺亚人力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雀巢牧场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中建八局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爱康国宾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河北热力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慧清科技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天津盐场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长沙广联达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心想事呈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百事集团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中原燃气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现代牧业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中海油财务等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授课照片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】</w:t>
      </w:r>
    </w:p>
    <w:tbl>
      <w:tblPr>
        <w:tblStyle w:val="7"/>
        <w:tblW w:w="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56"/>
        <w:gridCol w:w="227"/>
        <w:gridCol w:w="41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8" w:hRule="exact"/>
          <w:jc w:val="center"/>
        </w:trPr>
        <w:tc>
          <w:tcPr>
            <w:tcW w:w="415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14:reflection w14:blurRad="0" w14:stA="0" w14:stPos="0" w14:endA="0" w14:endPos="0" w14:dist="12700" w14:dir="0" w14:fadeDir="0" w14:sx="0" w14:sy="0" w14:kx="0" w14:ky="0" w14:algn="b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-46990</wp:posOffset>
                  </wp:positionH>
                  <wp:positionV relativeFrom="paragraph">
                    <wp:posOffset>-6350</wp:posOffset>
                  </wp:positionV>
                  <wp:extent cx="2639060" cy="1979930"/>
                  <wp:effectExtent l="21590" t="0" r="25400" b="325120"/>
                  <wp:wrapTight wrapText="bothSides">
                    <wp:wrapPolygon>
                      <wp:start x="-177" y="0"/>
                      <wp:lineTo x="-177" y="24939"/>
                      <wp:lineTo x="21652" y="24939"/>
                      <wp:lineTo x="21652" y="0"/>
                      <wp:lineTo x="-177" y="0"/>
                    </wp:wrapPolygon>
                  </wp:wrapTight>
                  <wp:docPr id="5" name="图片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9060" cy="1979930"/>
                          </a:xfrm>
                          <a:prstGeom prst="rect">
                            <a:avLst/>
                          </a:prstGeom>
                          <a:effectLst>
                            <a:reflection blurRad="25400" stA="52000" endA="300" endPos="1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2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415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-46990</wp:posOffset>
                  </wp:positionH>
                  <wp:positionV relativeFrom="page">
                    <wp:posOffset>0</wp:posOffset>
                  </wp:positionV>
                  <wp:extent cx="2639060" cy="1979930"/>
                  <wp:effectExtent l="21590" t="0" r="25400" b="325120"/>
                  <wp:wrapTight wrapText="bothSides">
                    <wp:wrapPolygon>
                      <wp:start x="-177" y="0"/>
                      <wp:lineTo x="-177" y="24939"/>
                      <wp:lineTo x="21652" y="24939"/>
                      <wp:lineTo x="21652" y="0"/>
                      <wp:lineTo x="-177" y="0"/>
                    </wp:wrapPolygon>
                  </wp:wrapTight>
                  <wp:docPr id="6" name="图片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9060" cy="1979930"/>
                          </a:xfrm>
                          <a:prstGeom prst="rect">
                            <a:avLst/>
                          </a:prstGeom>
                          <a:effectLst>
                            <a:reflection blurRad="25400" stA="52000" endA="300" endPos="1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1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中信保诚特邀嘉宾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22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41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甘李药业《情绪</w:t>
            </w:r>
            <w:r>
              <w:rPr>
                <w:rFonts w:ascii="微软雅黑" w:hAnsi="微软雅黑" w:eastAsia="微软雅黑"/>
                <w:bCs/>
                <w:sz w:val="24"/>
                <w:szCs w:val="24"/>
              </w:rPr>
              <w:t>压力管理</w:t>
            </w: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工作坊》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8" w:hRule="exact"/>
          <w:jc w:val="center"/>
        </w:trPr>
        <w:tc>
          <w:tcPr>
            <w:tcW w:w="415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-46990</wp:posOffset>
                  </wp:positionH>
                  <wp:positionV relativeFrom="page">
                    <wp:posOffset>0</wp:posOffset>
                  </wp:positionV>
                  <wp:extent cx="2639060" cy="1979930"/>
                  <wp:effectExtent l="21590" t="0" r="25400" b="325120"/>
                  <wp:wrapTight wrapText="bothSides">
                    <wp:wrapPolygon>
                      <wp:start x="-177" y="0"/>
                      <wp:lineTo x="-177" y="24939"/>
                      <wp:lineTo x="21652" y="24939"/>
                      <wp:lineTo x="21652" y="0"/>
                      <wp:lineTo x="-177" y="0"/>
                    </wp:wrapPolygon>
                  </wp:wrapTight>
                  <wp:docPr id="7" name="图片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9060" cy="1979930"/>
                          </a:xfrm>
                          <a:prstGeom prst="rect">
                            <a:avLst/>
                          </a:prstGeom>
                          <a:effectLst>
                            <a:reflection blurRad="25400" stA="52000" endA="300" endPos="1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2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415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-46990</wp:posOffset>
                  </wp:positionH>
                  <wp:positionV relativeFrom="paragraph">
                    <wp:posOffset>-6350</wp:posOffset>
                  </wp:positionV>
                  <wp:extent cx="2639060" cy="1979930"/>
                  <wp:effectExtent l="21590" t="0" r="25400" b="325120"/>
                  <wp:wrapTight wrapText="bothSides">
                    <wp:wrapPolygon>
                      <wp:start x="-177" y="0"/>
                      <wp:lineTo x="-177" y="24939"/>
                      <wp:lineTo x="21652" y="24939"/>
                      <wp:lineTo x="21652" y="0"/>
                      <wp:lineTo x="-177" y="0"/>
                    </wp:wrapPolygon>
                  </wp:wrapTight>
                  <wp:docPr id="47" name="图片 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图片 47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9060" cy="1979930"/>
                          </a:xfrm>
                          <a:prstGeom prst="rect">
                            <a:avLst/>
                          </a:prstGeom>
                          <a:effectLst>
                            <a:reflection blurRad="25400" stA="52000" endA="300" endPos="1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1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  <w:r>
              <w:rPr>
                <w:rFonts w:hint="eastAsia" w:ascii="微软雅黑" w:hAnsi="微软雅黑" w:eastAsia="微软雅黑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上海财经大学《组织变革领导力》</w:t>
            </w:r>
          </w:p>
        </w:tc>
        <w:tc>
          <w:tcPr>
            <w:tcW w:w="22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41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国家电网《团队核心管理技能》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8" w:hRule="exact"/>
          <w:jc w:val="center"/>
        </w:trPr>
        <w:tc>
          <w:tcPr>
            <w:tcW w:w="415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-46990</wp:posOffset>
                  </wp:positionH>
                  <wp:positionV relativeFrom="page">
                    <wp:posOffset>0</wp:posOffset>
                  </wp:positionV>
                  <wp:extent cx="2639060" cy="1979930"/>
                  <wp:effectExtent l="21590" t="0" r="25400" b="325120"/>
                  <wp:wrapTight wrapText="bothSides">
                    <wp:wrapPolygon>
                      <wp:start x="-177" y="0"/>
                      <wp:lineTo x="-177" y="24939"/>
                      <wp:lineTo x="21652" y="24939"/>
                      <wp:lineTo x="21652" y="0"/>
                      <wp:lineTo x="-177" y="0"/>
                    </wp:wrapPolygon>
                  </wp:wrapTight>
                  <wp:docPr id="8" name="图片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9060" cy="1979930"/>
                          </a:xfrm>
                          <a:prstGeom prst="rect">
                            <a:avLst/>
                          </a:prstGeom>
                          <a:effectLst>
                            <a:reflection blurRad="25400" stA="52000" endA="300" endPos="1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2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415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</w:rPr>
              <w:drawing>
                <wp:anchor distT="0" distB="0" distL="114300" distR="114300" simplePos="0" relativeHeight="251666432" behindDoc="1" locked="0" layoutInCell="1" allowOverlap="1">
                  <wp:simplePos x="0" y="0"/>
                  <wp:positionH relativeFrom="column">
                    <wp:posOffset>-46990</wp:posOffset>
                  </wp:positionH>
                  <wp:positionV relativeFrom="page">
                    <wp:posOffset>0</wp:posOffset>
                  </wp:positionV>
                  <wp:extent cx="2639060" cy="1979930"/>
                  <wp:effectExtent l="21590" t="0" r="25400" b="325120"/>
                  <wp:wrapTight wrapText="bothSides">
                    <wp:wrapPolygon>
                      <wp:start x="-177" y="0"/>
                      <wp:lineTo x="-177" y="24939"/>
                      <wp:lineTo x="21652" y="24939"/>
                      <wp:lineTo x="21652" y="0"/>
                      <wp:lineTo x="-177" y="0"/>
                    </wp:wrapPolygon>
                  </wp:wrapTight>
                  <wp:docPr id="195" name="图片 19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" name="图片 195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9060" cy="1979930"/>
                          </a:xfrm>
                          <a:prstGeom prst="rect">
                            <a:avLst/>
                          </a:prstGeom>
                          <a:effectLst>
                            <a:reflection blurRad="25400" stA="52000" endA="300" endPos="1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1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中国邮储《职场思考力》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22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41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永泰地产《沙漠掘金沙盘》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8" w:hRule="exact"/>
          <w:jc w:val="center"/>
        </w:trPr>
        <w:tc>
          <w:tcPr>
            <w:tcW w:w="415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14:reflection w14:blurRad="0" w14:stA="0" w14:stPos="0" w14:endA="0" w14:endPos="0" w14:dist="12700" w14:dir="0" w14:fadeDir="0" w14:sx="0" w14:sy="0" w14:kx="0" w14:ky="0" w14:algn="b"/>
              </w:rPr>
              <w:drawing>
                <wp:anchor distT="0" distB="0" distL="114300" distR="114300" simplePos="0" relativeHeight="251667456" behindDoc="1" locked="0" layoutInCell="1" allowOverlap="1">
                  <wp:simplePos x="0" y="0"/>
                  <wp:positionH relativeFrom="column">
                    <wp:posOffset>-46990</wp:posOffset>
                  </wp:positionH>
                  <wp:positionV relativeFrom="paragraph">
                    <wp:posOffset>-6350</wp:posOffset>
                  </wp:positionV>
                  <wp:extent cx="2639060" cy="1979930"/>
                  <wp:effectExtent l="21590" t="0" r="25400" b="325120"/>
                  <wp:wrapTight wrapText="bothSides">
                    <wp:wrapPolygon>
                      <wp:start x="-177" y="0"/>
                      <wp:lineTo x="-177" y="24939"/>
                      <wp:lineTo x="21652" y="24939"/>
                      <wp:lineTo x="21652" y="0"/>
                      <wp:lineTo x="-177" y="0"/>
                    </wp:wrapPolygon>
                  </wp:wrapTight>
                  <wp:docPr id="9" name="图片 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9060" cy="1979930"/>
                          </a:xfrm>
                          <a:prstGeom prst="rect">
                            <a:avLst/>
                          </a:prstGeom>
                          <a:effectLst>
                            <a:reflection blurRad="25400" stA="52000" endA="300" endPos="1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2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415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</w:rPr>
              <w:drawing>
                <wp:anchor distT="0" distB="0" distL="114300" distR="114300" simplePos="0" relativeHeight="251668480" behindDoc="1" locked="0" layoutInCell="1" allowOverlap="1">
                  <wp:simplePos x="0" y="0"/>
                  <wp:positionH relativeFrom="column">
                    <wp:posOffset>-46990</wp:posOffset>
                  </wp:positionH>
                  <wp:positionV relativeFrom="paragraph">
                    <wp:posOffset>-6350</wp:posOffset>
                  </wp:positionV>
                  <wp:extent cx="2639060" cy="1979930"/>
                  <wp:effectExtent l="21590" t="0" r="25400" b="325120"/>
                  <wp:wrapTight wrapText="bothSides">
                    <wp:wrapPolygon>
                      <wp:start x="-177" y="0"/>
                      <wp:lineTo x="-177" y="24939"/>
                      <wp:lineTo x="21652" y="24939"/>
                      <wp:lineTo x="21652" y="0"/>
                      <wp:lineTo x="-177" y="0"/>
                    </wp:wrapPolygon>
                  </wp:wrapTight>
                  <wp:docPr id="10" name="图片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0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9060" cy="1979930"/>
                          </a:xfrm>
                          <a:prstGeom prst="rect">
                            <a:avLst/>
                          </a:prstGeom>
                          <a:effectLst>
                            <a:reflection blurRad="25400" stA="52000" endA="300" endPos="1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1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华润集团《职场非暴力沟通》</w:t>
            </w:r>
          </w:p>
        </w:tc>
        <w:tc>
          <w:tcPr>
            <w:tcW w:w="22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41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宝马汽车《组织协作工作坊》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8" w:hRule="exact"/>
          <w:jc w:val="center"/>
        </w:trPr>
        <w:tc>
          <w:tcPr>
            <w:tcW w:w="415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</w:rPr>
              <w:drawing>
                <wp:anchor distT="0" distB="0" distL="114300" distR="114300" simplePos="0" relativeHeight="251669504" behindDoc="1" locked="1" layoutInCell="1" allowOverlap="1">
                  <wp:simplePos x="0" y="0"/>
                  <wp:positionH relativeFrom="column">
                    <wp:posOffset>-46990</wp:posOffset>
                  </wp:positionH>
                  <wp:positionV relativeFrom="page">
                    <wp:posOffset>0</wp:posOffset>
                  </wp:positionV>
                  <wp:extent cx="2639060" cy="1979930"/>
                  <wp:effectExtent l="21590" t="0" r="25400" b="325120"/>
                  <wp:wrapTight wrapText="bothSides">
                    <wp:wrapPolygon>
                      <wp:start x="-177" y="0"/>
                      <wp:lineTo x="-177" y="24939"/>
                      <wp:lineTo x="21652" y="24939"/>
                      <wp:lineTo x="21652" y="0"/>
                      <wp:lineTo x="-177" y="0"/>
                    </wp:wrapPolygon>
                  </wp:wrapTight>
                  <wp:docPr id="11" name="图片 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11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9060" cy="1979930"/>
                          </a:xfrm>
                          <a:prstGeom prst="rect">
                            <a:avLst/>
                          </a:prstGeom>
                          <a:effectLst>
                            <a:reflection blurRad="25400" stA="52000" endA="300" endPos="1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2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415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</w:rPr>
              <w:drawing>
                <wp:anchor distT="0" distB="0" distL="114300" distR="114300" simplePos="0" relativeHeight="251670528" behindDoc="1" locked="1" layoutInCell="1" allowOverlap="1">
                  <wp:simplePos x="0" y="0"/>
                  <wp:positionH relativeFrom="column">
                    <wp:posOffset>-46990</wp:posOffset>
                  </wp:positionH>
                  <wp:positionV relativeFrom="page">
                    <wp:posOffset>0</wp:posOffset>
                  </wp:positionV>
                  <wp:extent cx="2639060" cy="1979930"/>
                  <wp:effectExtent l="21590" t="0" r="25400" b="325120"/>
                  <wp:wrapTight wrapText="bothSides">
                    <wp:wrapPolygon>
                      <wp:start x="-177" y="0"/>
                      <wp:lineTo x="-177" y="24939"/>
                      <wp:lineTo x="21652" y="24939"/>
                      <wp:lineTo x="21652" y="0"/>
                      <wp:lineTo x="-177" y="0"/>
                    </wp:wrapPolygon>
                  </wp:wrapTight>
                  <wp:docPr id="12" name="图片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12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9060" cy="1979930"/>
                          </a:xfrm>
                          <a:prstGeom prst="rect">
                            <a:avLst/>
                          </a:prstGeom>
                          <a:effectLst>
                            <a:reflection blurRad="25400" stA="52000" endA="300" endPos="1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1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雀巢咖啡《管理沟通》</w:t>
            </w:r>
          </w:p>
        </w:tc>
        <w:tc>
          <w:tcPr>
            <w:tcW w:w="22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41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中国移动《沙漠掘金沙盘》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</w:p>
        </w:tc>
      </w:tr>
    </w:tbl>
    <w:p>
      <w:pPr>
        <w:spacing w:line="440" w:lineRule="exact"/>
        <w:rPr>
          <w:rFonts w:ascii="微软雅黑" w:hAnsi="微软雅黑" w:eastAsia="微软雅黑"/>
          <w:b/>
          <w:sz w:val="28"/>
          <w:szCs w:val="28"/>
        </w:rPr>
      </w:pPr>
    </w:p>
    <w:sectPr>
      <w:type w:val="continuous"/>
      <w:pgSz w:w="11906" w:h="16838"/>
      <w:pgMar w:top="1134" w:right="851" w:bottom="1134" w:left="85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hlY2YxMzQ4MWI4MzE4ZjRmM2YyMzkzMTllZTQ0YTEifQ=="/>
  </w:docVars>
  <w:rsids>
    <w:rsidRoot w:val="00121DDF"/>
    <w:rsid w:val="00001B10"/>
    <w:rsid w:val="00004210"/>
    <w:rsid w:val="00023C36"/>
    <w:rsid w:val="000856FF"/>
    <w:rsid w:val="000A01FE"/>
    <w:rsid w:val="000A2AA6"/>
    <w:rsid w:val="000F336D"/>
    <w:rsid w:val="00121DDF"/>
    <w:rsid w:val="00121FE9"/>
    <w:rsid w:val="001E4138"/>
    <w:rsid w:val="001E7B14"/>
    <w:rsid w:val="002246D8"/>
    <w:rsid w:val="00260E45"/>
    <w:rsid w:val="0026543E"/>
    <w:rsid w:val="0027781C"/>
    <w:rsid w:val="002835A6"/>
    <w:rsid w:val="0028475E"/>
    <w:rsid w:val="002C63C7"/>
    <w:rsid w:val="002F2199"/>
    <w:rsid w:val="003318F4"/>
    <w:rsid w:val="003808CB"/>
    <w:rsid w:val="00391AB6"/>
    <w:rsid w:val="00394652"/>
    <w:rsid w:val="00395AC8"/>
    <w:rsid w:val="003C6AE1"/>
    <w:rsid w:val="004172ED"/>
    <w:rsid w:val="00431E23"/>
    <w:rsid w:val="004A23AD"/>
    <w:rsid w:val="004C7D78"/>
    <w:rsid w:val="004E084B"/>
    <w:rsid w:val="00507B24"/>
    <w:rsid w:val="00547ECA"/>
    <w:rsid w:val="005712E2"/>
    <w:rsid w:val="00596BF8"/>
    <w:rsid w:val="005A22F1"/>
    <w:rsid w:val="005D6CE6"/>
    <w:rsid w:val="005E7ADE"/>
    <w:rsid w:val="0065458E"/>
    <w:rsid w:val="006719D0"/>
    <w:rsid w:val="006742E7"/>
    <w:rsid w:val="0069280F"/>
    <w:rsid w:val="006A468B"/>
    <w:rsid w:val="006B41EB"/>
    <w:rsid w:val="006E036C"/>
    <w:rsid w:val="006F315A"/>
    <w:rsid w:val="00705765"/>
    <w:rsid w:val="007153E6"/>
    <w:rsid w:val="00716F6C"/>
    <w:rsid w:val="0075227F"/>
    <w:rsid w:val="007A6D47"/>
    <w:rsid w:val="007D2774"/>
    <w:rsid w:val="008029E6"/>
    <w:rsid w:val="00812FF3"/>
    <w:rsid w:val="008150ED"/>
    <w:rsid w:val="00816FFF"/>
    <w:rsid w:val="00870983"/>
    <w:rsid w:val="008B5C11"/>
    <w:rsid w:val="008C6A76"/>
    <w:rsid w:val="008D27E8"/>
    <w:rsid w:val="008E7E32"/>
    <w:rsid w:val="0091774A"/>
    <w:rsid w:val="00991F32"/>
    <w:rsid w:val="009C41DD"/>
    <w:rsid w:val="009D3640"/>
    <w:rsid w:val="009D6F7B"/>
    <w:rsid w:val="009F5C11"/>
    <w:rsid w:val="009F7395"/>
    <w:rsid w:val="00A17F12"/>
    <w:rsid w:val="00A9379B"/>
    <w:rsid w:val="00AB1A7D"/>
    <w:rsid w:val="00AB6B47"/>
    <w:rsid w:val="00AC41BC"/>
    <w:rsid w:val="00AD1C7D"/>
    <w:rsid w:val="00AF3884"/>
    <w:rsid w:val="00B31DDD"/>
    <w:rsid w:val="00B44507"/>
    <w:rsid w:val="00B7414D"/>
    <w:rsid w:val="00BC4030"/>
    <w:rsid w:val="00BC5D1D"/>
    <w:rsid w:val="00BF4465"/>
    <w:rsid w:val="00C13E30"/>
    <w:rsid w:val="00C151D7"/>
    <w:rsid w:val="00C238AB"/>
    <w:rsid w:val="00C34DAE"/>
    <w:rsid w:val="00C753BD"/>
    <w:rsid w:val="00C861E6"/>
    <w:rsid w:val="00C92B38"/>
    <w:rsid w:val="00CF4E1C"/>
    <w:rsid w:val="00CF6397"/>
    <w:rsid w:val="00D347A4"/>
    <w:rsid w:val="00D542C1"/>
    <w:rsid w:val="00D62374"/>
    <w:rsid w:val="00DA0004"/>
    <w:rsid w:val="00DC1715"/>
    <w:rsid w:val="00E20DA5"/>
    <w:rsid w:val="00E552C2"/>
    <w:rsid w:val="00EB04C4"/>
    <w:rsid w:val="00F2244F"/>
    <w:rsid w:val="00F97665"/>
    <w:rsid w:val="00FA668F"/>
    <w:rsid w:val="00FD0DC2"/>
    <w:rsid w:val="00FE6759"/>
    <w:rsid w:val="011712D2"/>
    <w:rsid w:val="14944C18"/>
    <w:rsid w:val="25217967"/>
    <w:rsid w:val="2BD212E0"/>
    <w:rsid w:val="49426F7A"/>
    <w:rsid w:val="4D173E4F"/>
    <w:rsid w:val="4D5A69E7"/>
    <w:rsid w:val="6A612377"/>
    <w:rsid w:val="70F4467F"/>
    <w:rsid w:val="71A44BE0"/>
    <w:rsid w:val="78230FD1"/>
    <w:rsid w:val="7A5A2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FollowedHyperlink"/>
    <w:basedOn w:val="8"/>
    <w:semiHidden/>
    <w:unhideWhenUsed/>
    <w:qFormat/>
    <w:uiPriority w:val="99"/>
    <w:rPr>
      <w:color w:val="800080"/>
      <w:u w:val="single"/>
    </w:rPr>
  </w:style>
  <w:style w:type="character" w:styleId="10">
    <w:name w:val="Hyperlink"/>
    <w:basedOn w:val="8"/>
    <w:semiHidden/>
    <w:unhideWhenUsed/>
    <w:qFormat/>
    <w:uiPriority w:val="99"/>
    <w:rPr>
      <w:color w:val="0000FF"/>
      <w:u w:val="single"/>
    </w:rPr>
  </w:style>
  <w:style w:type="character" w:customStyle="1" w:styleId="11">
    <w:name w:val="批注框文本 字符"/>
    <w:basedOn w:val="8"/>
    <w:link w:val="2"/>
    <w:semiHidden/>
    <w:qFormat/>
    <w:uiPriority w:val="99"/>
    <w:rPr>
      <w:sz w:val="18"/>
      <w:szCs w:val="18"/>
    </w:rPr>
  </w:style>
  <w:style w:type="paragraph" w:styleId="12">
    <w:name w:val="List Paragraph"/>
    <w:qFormat/>
    <w:uiPriority w:val="0"/>
    <w:rPr>
      <w:rFonts w:ascii="Times New Roman" w:hAnsi="Times New Roman" w:cs="Times New Roman" w:eastAsiaTheme="minorEastAsia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2.xml"/><Relationship Id="rId15" Type="http://schemas.openxmlformats.org/officeDocument/2006/relationships/customXml" Target="../customXml/item1.xml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5EF1B3C-60E8-49FF-A7B6-AF6DBBB296B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1586</Words>
  <Characters>1620</Characters>
  <Lines>12</Lines>
  <Paragraphs>3</Paragraphs>
  <TotalTime>0</TotalTime>
  <ScaleCrop>false</ScaleCrop>
  <LinksUpToDate>false</LinksUpToDate>
  <CharactersWithSpaces>1649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2022-03-19T01:49:00Z</dcterms:created>
  <dc:creator>YM</dc:creator>
  <cp:lastModifiedBy>助力讲师团高远</cp:lastModifiedBy>
  <cp:lastPrinted>2022-03-03T01:13:00Z</cp:lastPrinted>
  <dcterms:modified xsi:type="dcterms:W3CDTF">2023-08-16T03:50:35Z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5182DDB14D3E4D01A66653C40114C6AD</vt:lpwstr>
  </property>
</Properties>
</file>